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C8BB" w14:textId="77777777" w:rsidR="00AE2CAD" w:rsidRDefault="00AE2CAD" w:rsidP="00AE2CAD">
      <w:pPr>
        <w:rPr>
          <w:b/>
          <w:bCs/>
        </w:rPr>
      </w:pPr>
      <w:r>
        <w:rPr>
          <w:b/>
          <w:bCs/>
        </w:rPr>
        <w:t xml:space="preserve">AIMSE 2022 Fall Conference </w:t>
      </w:r>
    </w:p>
    <w:p w14:paraId="33176E99" w14:textId="77777777" w:rsidR="00AE2CAD" w:rsidRDefault="00AE2CAD" w:rsidP="00AE2CAD">
      <w:pPr>
        <w:rPr>
          <w:b/>
          <w:bCs/>
        </w:rPr>
      </w:pPr>
      <w:r>
        <w:rPr>
          <w:b/>
          <w:bCs/>
        </w:rPr>
        <w:t>Wednesday, September 28</w:t>
      </w:r>
    </w:p>
    <w:p w14:paraId="24FAB40F" w14:textId="77777777" w:rsidR="00AE2CAD" w:rsidRDefault="00AE2CAD" w:rsidP="00AE2CAD">
      <w:pPr>
        <w:rPr>
          <w:b/>
          <w:bCs/>
        </w:rPr>
      </w:pPr>
      <w:r>
        <w:rPr>
          <w:b/>
          <w:bCs/>
        </w:rPr>
        <w:t>9:10 – 10:00 AM</w:t>
      </w:r>
    </w:p>
    <w:p w14:paraId="40DA5A12" w14:textId="77777777" w:rsidR="00AE2CAD" w:rsidRDefault="00AE2CAD" w:rsidP="00AE2CAD"/>
    <w:p w14:paraId="13BE4E57" w14:textId="77777777" w:rsidR="00AE2CAD" w:rsidRDefault="00AE2CAD" w:rsidP="00AE2CAD">
      <w:pPr>
        <w:rPr>
          <w:b/>
          <w:bCs/>
        </w:rPr>
      </w:pPr>
      <w:r>
        <w:rPr>
          <w:b/>
          <w:bCs/>
        </w:rPr>
        <w:t>Allocator Perspectives: Strategic Allocation Considerations for Asset Owners in 2022</w:t>
      </w:r>
    </w:p>
    <w:p w14:paraId="06D0255E" w14:textId="77777777" w:rsidR="00AE2CAD" w:rsidRDefault="00AE2CAD" w:rsidP="00AE2CAD"/>
    <w:p w14:paraId="7A363EBE" w14:textId="77777777" w:rsidR="00AE2CAD" w:rsidRDefault="00AE2CAD" w:rsidP="00AE2CAD">
      <w:r>
        <w:rPr>
          <w:b/>
          <w:bCs/>
        </w:rPr>
        <w:t>Speakers:</w:t>
      </w:r>
      <w:r>
        <w:t xml:space="preserve"> Tyler Dann, Morningstar; Rod June, LACERS; Matt Zenz, Hill Investment Group</w:t>
      </w:r>
    </w:p>
    <w:p w14:paraId="0E11F6B0" w14:textId="77777777" w:rsidR="00AE2CAD" w:rsidRDefault="00AE2CAD" w:rsidP="00AE2CAD">
      <w:r>
        <w:rPr>
          <w:b/>
          <w:bCs/>
        </w:rPr>
        <w:t>Moderator:</w:t>
      </w:r>
      <w:r>
        <w:t xml:space="preserve"> Ryan Walter, NEPC</w:t>
      </w:r>
    </w:p>
    <w:p w14:paraId="6231748F" w14:textId="77777777" w:rsidR="00AE2CAD" w:rsidRDefault="00AE2CAD" w:rsidP="00AE2CAD"/>
    <w:p w14:paraId="1E517BC0" w14:textId="77777777" w:rsidR="00AE2CAD" w:rsidRDefault="00AE2CAD" w:rsidP="00AE2CAD">
      <w:pPr>
        <w:rPr>
          <w:b/>
          <w:bCs/>
          <w:i/>
          <w:iCs/>
        </w:rPr>
      </w:pPr>
      <w:r>
        <w:rPr>
          <w:b/>
          <w:bCs/>
        </w:rPr>
        <w:t>Strategic vs. Tactical Asset Allocation</w:t>
      </w:r>
      <w:r>
        <w:rPr>
          <w:b/>
          <w:bCs/>
        </w:rPr>
        <w:br/>
      </w:r>
      <w:r>
        <w:rPr>
          <w:b/>
          <w:bCs/>
          <w:i/>
          <w:iCs/>
        </w:rPr>
        <w:t>              Rod – LACERS</w:t>
      </w:r>
    </w:p>
    <w:p w14:paraId="37053A82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Investment Committee agreed staff needs more discretion and has delegated some authority to staff</w:t>
      </w:r>
    </w:p>
    <w:p w14:paraId="5EA26B2F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Increased ability to be somewhat opportunistic and rebalance – allocation does not need to be “so strategic” all the time</w:t>
      </w:r>
    </w:p>
    <w:p w14:paraId="17F6E1BD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More leeway to be tactical – believe they will be leaving “alpha on the table” if not rebalancing</w:t>
      </w:r>
    </w:p>
    <w:p w14:paraId="753EC634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Strategic asset allocation remains a good road map and works best in “normal” market conditions</w:t>
      </w:r>
    </w:p>
    <w:p w14:paraId="0446C217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Matt – Hill</w:t>
      </w:r>
    </w:p>
    <w:p w14:paraId="29908FF3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not believe they are able to time the markets</w:t>
      </w:r>
    </w:p>
    <w:p w14:paraId="29EF1B78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tactical timing or rebalancing</w:t>
      </w:r>
    </w:p>
    <w:p w14:paraId="54FD9B4A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Systematically stay within +/- 5% bands</w:t>
      </w:r>
    </w:p>
    <w:p w14:paraId="203B57C7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Will take tax impacts into consideration</w:t>
      </w:r>
    </w:p>
    <w:p w14:paraId="1FA3245E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Tyler – Morningstar </w:t>
      </w:r>
    </w:p>
    <w:p w14:paraId="50B6F108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Investment approach is strategic and long-term</w:t>
      </w:r>
    </w:p>
    <w:p w14:paraId="1549934E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think about regime change of lower growth and higher rates</w:t>
      </w:r>
    </w:p>
    <w:p w14:paraId="42A4D12E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Think about asset mix in terms of quadrants and will make incremental changes</w:t>
      </w:r>
    </w:p>
    <w:p w14:paraId="47F9B43E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200+ measures to assess if sufficiently contrarian opportunity</w:t>
      </w:r>
    </w:p>
    <w:p w14:paraId="518482E4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Balance long term with planning of different scenarios</w:t>
      </w:r>
    </w:p>
    <w:p w14:paraId="639E52E5" w14:textId="77777777" w:rsidR="00AE2CAD" w:rsidRDefault="00AE2CAD" w:rsidP="00AE2CAD"/>
    <w:p w14:paraId="4BDF14E0" w14:textId="77777777" w:rsidR="00AE2CAD" w:rsidRDefault="00AE2CAD" w:rsidP="00AE2CAD">
      <w:pPr>
        <w:rPr>
          <w:b/>
          <w:bCs/>
        </w:rPr>
      </w:pPr>
      <w:r>
        <w:rPr>
          <w:b/>
          <w:bCs/>
        </w:rPr>
        <w:t>Denominator Effect – private market valuations lagging – how does this influence your asset allocation decisions</w:t>
      </w:r>
    </w:p>
    <w:p w14:paraId="4830AE9D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Rod – LACERS</w:t>
      </w:r>
    </w:p>
    <w:p w14:paraId="0EA7A3B1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Watch this closely as public equities decline</w:t>
      </w:r>
    </w:p>
    <w:p w14:paraId="503F6AEE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13.5% PE/VC allocation – no upper limit set on privates</w:t>
      </w:r>
    </w:p>
    <w:p w14:paraId="2BF61E0E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Believe in reversion to the mean and want to avoid selling in the secondary market</w:t>
      </w:r>
    </w:p>
    <w:p w14:paraId="1BEBC0A7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Avoid being </w:t>
      </w:r>
      <w:proofErr w:type="spellStart"/>
      <w:r>
        <w:rPr>
          <w:rFonts w:eastAsia="Times New Roman"/>
        </w:rPr>
        <w:t>underallocated</w:t>
      </w:r>
      <w:proofErr w:type="spellEnd"/>
      <w:r>
        <w:rPr>
          <w:rFonts w:eastAsia="Times New Roman"/>
        </w:rPr>
        <w:t xml:space="preserve"> – board sees the allocation 2x/month</w:t>
      </w:r>
    </w:p>
    <w:p w14:paraId="3E4A77AC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Private Equity consultant they use doesn’t dwell too much on the denominator effect</w:t>
      </w:r>
    </w:p>
    <w:p w14:paraId="49DDD361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Will do peer research and use this as a reference point</w:t>
      </w:r>
    </w:p>
    <w:p w14:paraId="5E031E88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$1.3B in commitments planned, cut back 10% but now for 2023 will look to do only half as much</w:t>
      </w:r>
    </w:p>
    <w:p w14:paraId="38B72FA2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About 24 private market allocations across 20 larger funds and 4-5 emerging – will make cuts from the larger ones</w:t>
      </w:r>
    </w:p>
    <w:p w14:paraId="66AB26BA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Tyler – Morningstar</w:t>
      </w:r>
    </w:p>
    <w:p w14:paraId="4EF99558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will look at Alts – predominantly secondary markets – will think about effective leverage – price discovery is important</w:t>
      </w:r>
    </w:p>
    <w:p w14:paraId="57E340C3" w14:textId="77777777" w:rsidR="00AE2CAD" w:rsidRDefault="00AE2CAD" w:rsidP="00AE2CAD"/>
    <w:p w14:paraId="443852FB" w14:textId="77777777" w:rsidR="00AE2CAD" w:rsidRDefault="00AE2CAD" w:rsidP="00AE2CAD">
      <w:pPr>
        <w:rPr>
          <w:b/>
          <w:bCs/>
        </w:rPr>
      </w:pPr>
      <w:r>
        <w:rPr>
          <w:b/>
          <w:bCs/>
        </w:rPr>
        <w:t>ESG / DEI</w:t>
      </w:r>
    </w:p>
    <w:p w14:paraId="3FD42E5E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Matt – Hill</w:t>
      </w:r>
    </w:p>
    <w:p w14:paraId="4A03950E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Various client views on ESG</w:t>
      </w:r>
    </w:p>
    <w:p w14:paraId="067A09D0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95% of clients don’t care and some made their money in oil</w:t>
      </w:r>
    </w:p>
    <w:p w14:paraId="12D72E3B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Perception that you pay more for lower returns</w:t>
      </w:r>
    </w:p>
    <w:p w14:paraId="641553B7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Will only look at ESG strategies at a client’s request</w:t>
      </w:r>
    </w:p>
    <w:p w14:paraId="21397BDC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Tyler – Morningstar</w:t>
      </w:r>
    </w:p>
    <w:p w14:paraId="35515B5F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We have an obvious relationship with </w:t>
      </w:r>
      <w:proofErr w:type="spellStart"/>
      <w:r>
        <w:rPr>
          <w:rFonts w:eastAsia="Times New Roman"/>
        </w:rPr>
        <w:t>Sustainalytics</w:t>
      </w:r>
      <w:proofErr w:type="spellEnd"/>
      <w:r>
        <w:rPr>
          <w:rFonts w:eastAsia="Times New Roman"/>
        </w:rPr>
        <w:t xml:space="preserve"> as their owner at the corporate level</w:t>
      </w:r>
    </w:p>
    <w:p w14:paraId="0D2B2B0C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At the Investment Management level, we do have a unique ESG allocation strategy that has 4 pillars</w:t>
      </w:r>
    </w:p>
    <w:p w14:paraId="4C1F358A" w14:textId="77777777" w:rsidR="00AE2CAD" w:rsidRDefault="00AE2CAD" w:rsidP="00AE2CAD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Absolute Value</w:t>
      </w:r>
    </w:p>
    <w:p w14:paraId="6455C23A" w14:textId="77777777" w:rsidR="00AE2CAD" w:rsidRDefault="00AE2CAD" w:rsidP="00AE2CAD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Relative Value</w:t>
      </w:r>
    </w:p>
    <w:p w14:paraId="490915C5" w14:textId="77777777" w:rsidR="00AE2CAD" w:rsidRDefault="00AE2CAD" w:rsidP="00AE2CAD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Forward Risk (material adverse impact)</w:t>
      </w:r>
    </w:p>
    <w:p w14:paraId="7C94F337" w14:textId="77777777" w:rsidR="00AE2CAD" w:rsidRDefault="00AE2CAD" w:rsidP="00AE2CAD">
      <w:pPr>
        <w:pStyle w:val="ListParagraph"/>
        <w:numPr>
          <w:ilvl w:val="1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Contrarian Opportunity</w:t>
      </w:r>
    </w:p>
    <w:p w14:paraId="79437E36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Rod – LACERS</w:t>
      </w:r>
    </w:p>
    <w:p w14:paraId="2D4DD9ED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Small/emerging manager effort is something we </w:t>
      </w:r>
      <w:proofErr w:type="spellStart"/>
      <w:r>
        <w:rPr>
          <w:rFonts w:eastAsia="Times New Roman"/>
        </w:rPr>
        <w:t>begain</w:t>
      </w:r>
      <w:proofErr w:type="spellEnd"/>
      <w:r>
        <w:rPr>
          <w:rFonts w:eastAsia="Times New Roman"/>
        </w:rPr>
        <w:t xml:space="preserve"> 20 years ago</w:t>
      </w:r>
    </w:p>
    <w:p w14:paraId="1EAE19C3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ESG started to be a focus by the then Board President and wanted LACERS to become a UNPRI signatory in 2017-18</w:t>
      </w:r>
    </w:p>
    <w:p w14:paraId="181F1E51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DEI is a </w:t>
      </w:r>
      <w:proofErr w:type="gramStart"/>
      <w:r>
        <w:rPr>
          <w:rFonts w:eastAsia="Times New Roman"/>
        </w:rPr>
        <w:t>new terms</w:t>
      </w:r>
      <w:proofErr w:type="gramEnd"/>
      <w:r>
        <w:rPr>
          <w:rFonts w:eastAsia="Times New Roman"/>
        </w:rPr>
        <w:t xml:space="preserve"> and become a buzzword in 2020 across their whole organization</w:t>
      </w:r>
    </w:p>
    <w:p w14:paraId="7CDAC00C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Emerging managers are the “S” in ESG and DEI = S + G</w:t>
      </w:r>
    </w:p>
    <w:p w14:paraId="6F067628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</w:rPr>
        <w:t>Website sets out their ESG risk framework and PRI action plan</w:t>
      </w:r>
    </w:p>
    <w:p w14:paraId="65EFC8A7" w14:textId="77777777" w:rsidR="00AE2CAD" w:rsidRDefault="00AE2CAD" w:rsidP="00AE2CAD">
      <w:pPr>
        <w:rPr>
          <w:b/>
          <w:bCs/>
        </w:rPr>
      </w:pPr>
    </w:p>
    <w:p w14:paraId="3AF18CB4" w14:textId="77777777" w:rsidR="00AE2CAD" w:rsidRDefault="00AE2CAD" w:rsidP="00AE2CAD">
      <w:pPr>
        <w:rPr>
          <w:b/>
          <w:bCs/>
        </w:rPr>
      </w:pPr>
      <w:r>
        <w:rPr>
          <w:b/>
          <w:bCs/>
        </w:rPr>
        <w:t>2023 Outlook</w:t>
      </w:r>
    </w:p>
    <w:p w14:paraId="5FAFADA8" w14:textId="77777777" w:rsidR="00AE2CAD" w:rsidRDefault="00AE2CAD" w:rsidP="00AE2CAD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Rod – LACERS</w:t>
      </w:r>
    </w:p>
    <w:p w14:paraId="71A5DED2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2024 is the timing of their next asset allocation study</w:t>
      </w:r>
    </w:p>
    <w:p w14:paraId="03620180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Thinks about recession, supply chain hangovers, high rates, inflation </w:t>
      </w:r>
      <w:r>
        <w:rPr>
          <w:rFonts w:ascii="Wingdings" w:eastAsia="Times New Roman" w:hAnsi="Wingdings"/>
        </w:rPr>
        <w:t>à</w:t>
      </w:r>
      <w:r>
        <w:rPr>
          <w:rFonts w:eastAsia="Times New Roman"/>
        </w:rPr>
        <w:t xml:space="preserve"> Doom &amp; Gloom will continue</w:t>
      </w:r>
    </w:p>
    <w:p w14:paraId="61E02B7E" w14:textId="77777777" w:rsidR="00AE2CAD" w:rsidRDefault="00AE2CAD" w:rsidP="00AE2C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Potential for US to revisit stagflation of Japan in the ‘80s</w:t>
      </w:r>
    </w:p>
    <w:p w14:paraId="3457CB33" w14:textId="77777777" w:rsidR="00F94C99" w:rsidRDefault="00F94C99"/>
    <w:sectPr w:rsidR="00F9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97D"/>
    <w:multiLevelType w:val="hybridMultilevel"/>
    <w:tmpl w:val="3434F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56749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AD"/>
    <w:rsid w:val="004332C7"/>
    <w:rsid w:val="0056695B"/>
    <w:rsid w:val="00AE2CAD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2371"/>
  <w15:chartTrackingRefBased/>
  <w15:docId w15:val="{0BB963DF-F947-4095-92C8-F79B8B3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70A0377DC043B521CBBA40D54EC3" ma:contentTypeVersion="16" ma:contentTypeDescription="Create a new document." ma:contentTypeScope="" ma:versionID="0814e60d6d76ad5d9028681c6badead7">
  <xsd:schema xmlns:xsd="http://www.w3.org/2001/XMLSchema" xmlns:xs="http://www.w3.org/2001/XMLSchema" xmlns:p="http://schemas.microsoft.com/office/2006/metadata/properties" xmlns:ns2="1e671bff-a4b1-4124-abfd-29a4ae65a73b" xmlns:ns3="cdf6dfcd-4e6c-4f91-a6b6-8fb85f4ee5b0" xmlns:ns4="4b2fc3e3-4049-4520-9bc5-99ad76a257ee" targetNamespace="http://schemas.microsoft.com/office/2006/metadata/properties" ma:root="true" ma:fieldsID="1e56eb213a7c628dd623063dfc0b8622" ns2:_="" ns3:_="" ns4:_="">
    <xsd:import namespace="1e671bff-a4b1-4124-abfd-29a4ae65a73b"/>
    <xsd:import namespace="cdf6dfcd-4e6c-4f91-a6b6-8fb85f4ee5b0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1bff-a4b1-4124-abfd-29a4ae65a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dfcd-4e6c-4f91-a6b6-8fb85f4ee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ee5436-c274-4d7c-ae10-c092095587d4}" ma:internalName="TaxCatchAll" ma:showField="CatchAllData" ma:web="cdf6dfcd-4e6c-4f91-a6b6-8fb85f4ee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C9485-2EAB-406C-A697-9A23B57B4287}"/>
</file>

<file path=customXml/itemProps2.xml><?xml version="1.0" encoding="utf-8"?>
<ds:datastoreItem xmlns:ds="http://schemas.openxmlformats.org/officeDocument/2006/customXml" ds:itemID="{8837181A-D0CE-4A2C-A126-82DA3A18B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Carey</dc:creator>
  <cp:keywords/>
  <dc:description/>
  <cp:lastModifiedBy>Brittany Carey</cp:lastModifiedBy>
  <cp:revision>1</cp:revision>
  <dcterms:created xsi:type="dcterms:W3CDTF">2022-10-07T17:20:00Z</dcterms:created>
  <dcterms:modified xsi:type="dcterms:W3CDTF">2022-10-07T17:22:00Z</dcterms:modified>
</cp:coreProperties>
</file>