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B36D" w14:textId="77777777" w:rsidR="00D53460" w:rsidRPr="00D53460" w:rsidRDefault="00D53460" w:rsidP="00D53460">
      <w:pPr>
        <w:rPr>
          <w:b/>
          <w:bCs/>
        </w:rPr>
      </w:pPr>
      <w:r w:rsidRPr="00D53460">
        <w:rPr>
          <w:b/>
          <w:bCs/>
        </w:rPr>
        <w:t>Session: Alternative Investments: The Path Forward</w:t>
      </w:r>
    </w:p>
    <w:p w14:paraId="219E413B" w14:textId="77777777" w:rsidR="00D53460" w:rsidRDefault="00D53460" w:rsidP="00D53460">
      <w:r>
        <w:t>Speakers:</w:t>
      </w:r>
    </w:p>
    <w:p w14:paraId="4F3925BC" w14:textId="77777777" w:rsidR="00D53460" w:rsidRDefault="00D53460" w:rsidP="00D53460">
      <w:pPr>
        <w:pStyle w:val="ListParagraph"/>
        <w:numPr>
          <w:ilvl w:val="0"/>
          <w:numId w:val="1"/>
        </w:numPr>
        <w:rPr>
          <w:rFonts w:eastAsia="Times New Roman"/>
        </w:rPr>
      </w:pPr>
      <w:r>
        <w:t xml:space="preserve">Brett </w:t>
      </w:r>
      <w:proofErr w:type="spellStart"/>
      <w:r>
        <w:t>Graffy</w:t>
      </w:r>
      <w:proofErr w:type="spellEnd"/>
      <w:r>
        <w:t xml:space="preserve"> – Marquette, p</w:t>
      </w:r>
      <w:r>
        <w:rPr>
          <w:rFonts w:eastAsia="Times New Roman"/>
        </w:rPr>
        <w:t>rivate markets, and sits on IC</w:t>
      </w:r>
    </w:p>
    <w:p w14:paraId="5E698B11" w14:textId="77777777" w:rsidR="00D53460" w:rsidRDefault="00D53460" w:rsidP="00D53460">
      <w:pPr>
        <w:pStyle w:val="ListParagraph"/>
        <w:numPr>
          <w:ilvl w:val="0"/>
          <w:numId w:val="1"/>
        </w:numPr>
      </w:pPr>
      <w:proofErr w:type="spellStart"/>
      <w:r>
        <w:t>Coltin</w:t>
      </w:r>
      <w:proofErr w:type="spellEnd"/>
      <w:r>
        <w:t xml:space="preserve"> Lavin – NEPC, </w:t>
      </w:r>
      <w:r>
        <w:rPr>
          <w:rFonts w:eastAsia="Times New Roman"/>
        </w:rPr>
        <w:t>Investment Director, private debt research</w:t>
      </w:r>
    </w:p>
    <w:p w14:paraId="1208E8FD" w14:textId="77777777" w:rsidR="00D53460" w:rsidRDefault="00D53460" w:rsidP="00D53460">
      <w:pPr>
        <w:pStyle w:val="ListParagraph"/>
        <w:numPr>
          <w:ilvl w:val="0"/>
          <w:numId w:val="1"/>
        </w:numPr>
      </w:pPr>
      <w:r>
        <w:t>Steve Swanson – Chicago Park Employees Annuity and Benefit Fund, Executive Director</w:t>
      </w:r>
    </w:p>
    <w:p w14:paraId="7ADEF544" w14:textId="77777777" w:rsidR="00D53460" w:rsidRDefault="00D53460" w:rsidP="00D53460"/>
    <w:p w14:paraId="56743D38" w14:textId="77777777" w:rsidR="00D53460" w:rsidRDefault="00D53460" w:rsidP="00D53460"/>
    <w:p w14:paraId="445D6F93" w14:textId="77777777" w:rsidR="00D53460" w:rsidRDefault="00D53460" w:rsidP="00D53460">
      <w:r>
        <w:t>Rebalancing from target asset allocation standpoint</w:t>
      </w:r>
    </w:p>
    <w:p w14:paraId="4F8E3943" w14:textId="77777777" w:rsidR="00D53460" w:rsidRDefault="00D53460" w:rsidP="00D53460">
      <w:pPr>
        <w:pStyle w:val="ListParagraph"/>
        <w:numPr>
          <w:ilvl w:val="0"/>
          <w:numId w:val="2"/>
        </w:numPr>
        <w:rPr>
          <w:rFonts w:eastAsia="Times New Roman"/>
        </w:rPr>
      </w:pPr>
      <w:r>
        <w:rPr>
          <w:rFonts w:eastAsia="Times New Roman"/>
        </w:rPr>
        <w:t>NEPC – constantly updating pacing plan, esp. given current environment. Limit commitment sizing in order to have liquidity to time opportunistic investments</w:t>
      </w:r>
    </w:p>
    <w:p w14:paraId="1E379788" w14:textId="77777777" w:rsidR="00D53460" w:rsidRDefault="00D53460" w:rsidP="00D53460">
      <w:pPr>
        <w:pStyle w:val="ListParagraph"/>
        <w:numPr>
          <w:ilvl w:val="0"/>
          <w:numId w:val="2"/>
        </w:numPr>
        <w:rPr>
          <w:rFonts w:eastAsia="Times New Roman"/>
        </w:rPr>
      </w:pPr>
      <w:r>
        <w:rPr>
          <w:rFonts w:eastAsia="Times New Roman"/>
        </w:rPr>
        <w:t>Marquette – Preaching patience overall but expect busy Q4</w:t>
      </w:r>
    </w:p>
    <w:p w14:paraId="55BD0E3A" w14:textId="77777777" w:rsidR="00D53460" w:rsidRDefault="00D53460" w:rsidP="00D53460">
      <w:pPr>
        <w:pStyle w:val="ListParagraph"/>
        <w:numPr>
          <w:ilvl w:val="0"/>
          <w:numId w:val="2"/>
        </w:numPr>
      </w:pPr>
      <w:r>
        <w:rPr>
          <w:rFonts w:eastAsia="Times New Roman"/>
        </w:rPr>
        <w:t xml:space="preserve">Chicago Park – adding RMS for </w:t>
      </w:r>
      <w:proofErr w:type="gramStart"/>
      <w:r>
        <w:rPr>
          <w:rFonts w:eastAsia="Times New Roman"/>
        </w:rPr>
        <w:t>HF, and</w:t>
      </w:r>
      <w:proofErr w:type="gramEnd"/>
      <w:r>
        <w:rPr>
          <w:rFonts w:eastAsia="Times New Roman"/>
        </w:rPr>
        <w:t xml:space="preserve"> venturing into private debt. Right </w:t>
      </w:r>
      <w:proofErr w:type="gramStart"/>
      <w:r>
        <w:rPr>
          <w:rFonts w:eastAsia="Times New Roman"/>
        </w:rPr>
        <w:t>now</w:t>
      </w:r>
      <w:proofErr w:type="gramEnd"/>
      <w:r>
        <w:rPr>
          <w:rFonts w:eastAsia="Times New Roman"/>
        </w:rPr>
        <w:t xml:space="preserve"> overweight infrastructure but plan to stay</w:t>
      </w:r>
    </w:p>
    <w:p w14:paraId="50D7AE65" w14:textId="77777777" w:rsidR="00D53460" w:rsidRDefault="00D53460" w:rsidP="00D53460">
      <w:pPr>
        <w:pStyle w:val="ListParagraph"/>
        <w:numPr>
          <w:ilvl w:val="0"/>
          <w:numId w:val="2"/>
        </w:numPr>
      </w:pPr>
    </w:p>
    <w:p w14:paraId="7D4A4509" w14:textId="77777777" w:rsidR="00D53460" w:rsidRDefault="00D53460" w:rsidP="00D53460">
      <w:r>
        <w:t>Institutional asset allocation from a risk, return, and liquidity spectrum</w:t>
      </w:r>
    </w:p>
    <w:p w14:paraId="25475D23" w14:textId="77777777" w:rsidR="00D53460" w:rsidRDefault="00D53460" w:rsidP="00D53460">
      <w:pPr>
        <w:pStyle w:val="ListParagraph"/>
        <w:numPr>
          <w:ilvl w:val="0"/>
          <w:numId w:val="3"/>
        </w:numPr>
        <w:rPr>
          <w:rFonts w:eastAsia="Times New Roman"/>
        </w:rPr>
      </w:pPr>
      <w:r>
        <w:rPr>
          <w:rFonts w:eastAsia="Times New Roman"/>
        </w:rPr>
        <w:t xml:space="preserve">NEPC – increasing importance, proliferation of public assets within the private markets fund, </w:t>
      </w:r>
      <w:proofErr w:type="gramStart"/>
      <w:r>
        <w:rPr>
          <w:rFonts w:eastAsia="Times New Roman"/>
        </w:rPr>
        <w:t>i.e.</w:t>
      </w:r>
      <w:proofErr w:type="gramEnd"/>
      <w:r>
        <w:rPr>
          <w:rFonts w:eastAsia="Times New Roman"/>
        </w:rPr>
        <w:t xml:space="preserve"> hidden public market exposure. Setting dedicated allocation to Private Debt for all clients, but different client base at different stages / target allocation. Always reviewing tactically, rather than changing strategic allocation. </w:t>
      </w:r>
    </w:p>
    <w:p w14:paraId="3DCCCCB9" w14:textId="77777777" w:rsidR="00D53460" w:rsidRDefault="00D53460" w:rsidP="00D53460">
      <w:pPr>
        <w:pStyle w:val="ListParagraph"/>
        <w:numPr>
          <w:ilvl w:val="0"/>
          <w:numId w:val="3"/>
        </w:numPr>
        <w:rPr>
          <w:rFonts w:eastAsia="Times New Roman"/>
        </w:rPr>
      </w:pPr>
      <w:r>
        <w:rPr>
          <w:rFonts w:eastAsia="Times New Roman"/>
        </w:rPr>
        <w:t xml:space="preserve">Marquette – 50% of clients are Taft </w:t>
      </w:r>
      <w:proofErr w:type="spellStart"/>
      <w:r>
        <w:rPr>
          <w:rFonts w:eastAsia="Times New Roman"/>
        </w:rPr>
        <w:t>Hartleys</w:t>
      </w:r>
      <w:proofErr w:type="spellEnd"/>
      <w:r>
        <w:rPr>
          <w:rFonts w:eastAsia="Times New Roman"/>
        </w:rPr>
        <w:t xml:space="preserve">, which have different risk spectrum than the other half – FOs and E&amp;Fs. On average, Private Equity and Private Debt make up 20-30% of the portfolio on the high end, and 10-15% on the lower end </w:t>
      </w:r>
    </w:p>
    <w:p w14:paraId="74D6BA35" w14:textId="77777777" w:rsidR="00D53460" w:rsidRDefault="00D53460" w:rsidP="00D53460">
      <w:pPr>
        <w:pStyle w:val="ListParagraph"/>
        <w:numPr>
          <w:ilvl w:val="0"/>
          <w:numId w:val="3"/>
        </w:numPr>
        <w:rPr>
          <w:rFonts w:eastAsia="Times New Roman"/>
        </w:rPr>
      </w:pPr>
      <w:r>
        <w:rPr>
          <w:rFonts w:eastAsia="Times New Roman"/>
        </w:rPr>
        <w:t>Chicago Park – must meet benefit payments and need to sell assets yearly even from private portfolios. Willing to sacrifice return in order to meet payments</w:t>
      </w:r>
    </w:p>
    <w:p w14:paraId="6CB27DC2" w14:textId="77777777" w:rsidR="00D53460" w:rsidRDefault="00D53460" w:rsidP="00D53460"/>
    <w:p w14:paraId="168F7B15" w14:textId="77777777" w:rsidR="00D53460" w:rsidRDefault="00D53460" w:rsidP="00D53460">
      <w:r>
        <w:t>How do you approach clients who are just legging in vs more established plans?</w:t>
      </w:r>
    </w:p>
    <w:p w14:paraId="197194FF" w14:textId="77777777" w:rsidR="00D53460" w:rsidRDefault="00D53460" w:rsidP="00D53460">
      <w:pPr>
        <w:pStyle w:val="ListParagraph"/>
        <w:numPr>
          <w:ilvl w:val="0"/>
          <w:numId w:val="4"/>
        </w:numPr>
        <w:rPr>
          <w:rFonts w:eastAsia="Times New Roman"/>
        </w:rPr>
      </w:pPr>
      <w:r>
        <w:rPr>
          <w:rFonts w:eastAsia="Times New Roman"/>
        </w:rPr>
        <w:t xml:space="preserve">NEPC – large dispersion in client base means every portfolio is customized with each client’s return and risk thresholds. Evaluate existing portfolio or create from scratch. </w:t>
      </w:r>
      <w:proofErr w:type="gramStart"/>
      <w:r>
        <w:rPr>
          <w:rFonts w:eastAsia="Times New Roman"/>
        </w:rPr>
        <w:t>Generally speaking, a</w:t>
      </w:r>
      <w:proofErr w:type="gramEnd"/>
      <w:r>
        <w:rPr>
          <w:rFonts w:eastAsia="Times New Roman"/>
        </w:rPr>
        <w:t xml:space="preserve"> core satellite approach</w:t>
      </w:r>
    </w:p>
    <w:p w14:paraId="356DAF3D" w14:textId="77777777" w:rsidR="00D53460" w:rsidRDefault="00D53460" w:rsidP="00D53460">
      <w:pPr>
        <w:pStyle w:val="ListParagraph"/>
        <w:numPr>
          <w:ilvl w:val="0"/>
          <w:numId w:val="4"/>
        </w:numPr>
        <w:rPr>
          <w:rFonts w:eastAsia="Times New Roman"/>
        </w:rPr>
      </w:pPr>
      <w:r>
        <w:rPr>
          <w:rFonts w:eastAsia="Times New Roman"/>
        </w:rPr>
        <w:t xml:space="preserve">Chicago Park – will be moving into private debt imminently, </w:t>
      </w:r>
      <w:proofErr w:type="gramStart"/>
      <w:r>
        <w:rPr>
          <w:rFonts w:eastAsia="Times New Roman"/>
        </w:rPr>
        <w:t>definitely core</w:t>
      </w:r>
      <w:proofErr w:type="gramEnd"/>
      <w:r>
        <w:rPr>
          <w:rFonts w:eastAsia="Times New Roman"/>
        </w:rPr>
        <w:t xml:space="preserve"> approach and staying higher in cap stack, need to get money back. </w:t>
      </w:r>
    </w:p>
    <w:p w14:paraId="4BE87E44" w14:textId="77777777" w:rsidR="00D53460" w:rsidRDefault="00D53460" w:rsidP="00D53460"/>
    <w:p w14:paraId="3140DF01" w14:textId="77777777" w:rsidR="00D53460" w:rsidRDefault="00D53460" w:rsidP="00D53460">
      <w:r>
        <w:t>New vehicle structures</w:t>
      </w:r>
    </w:p>
    <w:p w14:paraId="20B7FD36" w14:textId="77777777" w:rsidR="00D53460" w:rsidRDefault="00D53460" w:rsidP="00D53460">
      <w:pPr>
        <w:pStyle w:val="ListParagraph"/>
        <w:numPr>
          <w:ilvl w:val="0"/>
          <w:numId w:val="5"/>
        </w:numPr>
        <w:rPr>
          <w:rFonts w:eastAsia="Times New Roman"/>
        </w:rPr>
      </w:pPr>
      <w:r>
        <w:rPr>
          <w:rFonts w:eastAsia="Times New Roman"/>
        </w:rPr>
        <w:t xml:space="preserve">Marquette – adopting more liquid, quarterly funds or </w:t>
      </w:r>
      <w:proofErr w:type="gramStart"/>
      <w:r>
        <w:rPr>
          <w:rFonts w:eastAsia="Times New Roman"/>
        </w:rPr>
        <w:t>2-3 year</w:t>
      </w:r>
      <w:proofErr w:type="gramEnd"/>
      <w:r>
        <w:rPr>
          <w:rFonts w:eastAsia="Times New Roman"/>
        </w:rPr>
        <w:t xml:space="preserve"> evergreen funds past few years. Now 70-80% in Private Credit is either in semi liquid or evergreen </w:t>
      </w:r>
      <w:proofErr w:type="spellStart"/>
      <w:r>
        <w:rPr>
          <w:rFonts w:eastAsia="Times New Roman"/>
        </w:rPr>
        <w:t>venichels</w:t>
      </w:r>
      <w:proofErr w:type="spellEnd"/>
      <w:r>
        <w:rPr>
          <w:rFonts w:eastAsia="Times New Roman"/>
        </w:rPr>
        <w:t xml:space="preserve">, makes sense for trustees and clients who only meet four times a year. Less ramp up and ramp down, more efficient. </w:t>
      </w:r>
    </w:p>
    <w:p w14:paraId="4D79BDE8" w14:textId="77777777" w:rsidR="00D53460" w:rsidRDefault="00D53460" w:rsidP="00D53460">
      <w:pPr>
        <w:pStyle w:val="ListParagraph"/>
        <w:numPr>
          <w:ilvl w:val="0"/>
          <w:numId w:val="5"/>
        </w:numPr>
        <w:rPr>
          <w:rFonts w:eastAsia="Times New Roman"/>
        </w:rPr>
      </w:pPr>
      <w:r>
        <w:rPr>
          <w:rFonts w:eastAsia="Times New Roman"/>
        </w:rPr>
        <w:t xml:space="preserve">Chicago Park – looking at PC evergreen, need liquidity </w:t>
      </w:r>
    </w:p>
    <w:p w14:paraId="52775D73" w14:textId="77777777" w:rsidR="00D53460" w:rsidRDefault="00D53460" w:rsidP="00D53460">
      <w:pPr>
        <w:pStyle w:val="ListParagraph"/>
        <w:numPr>
          <w:ilvl w:val="0"/>
          <w:numId w:val="5"/>
        </w:numPr>
        <w:rPr>
          <w:rFonts w:eastAsia="Times New Roman"/>
        </w:rPr>
      </w:pPr>
      <w:r>
        <w:rPr>
          <w:rFonts w:eastAsia="Times New Roman"/>
        </w:rPr>
        <w:t xml:space="preserve">NEPC – evergreen structures continue to take more market share, often marketed as liquidity solution. </w:t>
      </w:r>
      <w:proofErr w:type="gramStart"/>
      <w:r>
        <w:rPr>
          <w:rFonts w:eastAsia="Times New Roman"/>
        </w:rPr>
        <w:t>However</w:t>
      </w:r>
      <w:proofErr w:type="gramEnd"/>
      <w:r>
        <w:rPr>
          <w:rFonts w:eastAsia="Times New Roman"/>
        </w:rPr>
        <w:t xml:space="preserve"> by the time you get your assets back after ramp down, unclear if it’s faster than close end. BDCs seem to be more prevalent. Taft Harleys s are becoming interested in Private Debt but need the right vehicles.</w:t>
      </w:r>
    </w:p>
    <w:p w14:paraId="4848DB65" w14:textId="77777777" w:rsidR="00D53460" w:rsidRDefault="00D53460" w:rsidP="00D53460"/>
    <w:p w14:paraId="2E158AA2" w14:textId="77777777" w:rsidR="00D53460" w:rsidRDefault="00D53460" w:rsidP="00D53460">
      <w:r>
        <w:t>What they need from managers</w:t>
      </w:r>
    </w:p>
    <w:p w14:paraId="0B7433A2" w14:textId="77777777" w:rsidR="00D53460" w:rsidRDefault="00D53460" w:rsidP="00D53460">
      <w:pPr>
        <w:pStyle w:val="ListParagraph"/>
        <w:numPr>
          <w:ilvl w:val="0"/>
          <w:numId w:val="5"/>
        </w:numPr>
        <w:rPr>
          <w:rFonts w:eastAsia="Times New Roman"/>
        </w:rPr>
      </w:pPr>
      <w:r>
        <w:rPr>
          <w:rFonts w:eastAsia="Times New Roman"/>
        </w:rPr>
        <w:t xml:space="preserve">NEPC – diligence process hasn’t changed due to market changes, still review historical deals deal structures. Tying returns to cheaper fees will help. Transparency – fill in DDQs in the format provided really helps. </w:t>
      </w:r>
    </w:p>
    <w:p w14:paraId="03ED8BF9" w14:textId="77777777" w:rsidR="00D53460" w:rsidRDefault="00D53460" w:rsidP="00D53460">
      <w:pPr>
        <w:pStyle w:val="ListParagraph"/>
        <w:numPr>
          <w:ilvl w:val="0"/>
          <w:numId w:val="5"/>
        </w:numPr>
        <w:rPr>
          <w:rFonts w:eastAsia="Times New Roman"/>
        </w:rPr>
      </w:pPr>
      <w:r>
        <w:rPr>
          <w:rFonts w:eastAsia="Times New Roman"/>
        </w:rPr>
        <w:lastRenderedPageBreak/>
        <w:t>Chicago Park – seeking low correlation to public equities and fixed, and to the timing of the correlation</w:t>
      </w:r>
    </w:p>
    <w:p w14:paraId="4B1F72D3" w14:textId="77777777" w:rsidR="00D53460" w:rsidRDefault="00D53460" w:rsidP="00D53460">
      <w:pPr>
        <w:pStyle w:val="ListParagraph"/>
        <w:numPr>
          <w:ilvl w:val="0"/>
          <w:numId w:val="5"/>
        </w:numPr>
        <w:rPr>
          <w:rFonts w:eastAsia="Times New Roman"/>
        </w:rPr>
      </w:pPr>
      <w:r>
        <w:rPr>
          <w:rFonts w:eastAsia="Times New Roman"/>
        </w:rPr>
        <w:t xml:space="preserve">Marquette – middle market direct lending continues to be </w:t>
      </w:r>
      <w:proofErr w:type="gramStart"/>
      <w:r>
        <w:rPr>
          <w:rFonts w:eastAsia="Times New Roman"/>
        </w:rPr>
        <w:t>attractive,</w:t>
      </w:r>
      <w:proofErr w:type="gramEnd"/>
      <w:r>
        <w:rPr>
          <w:rFonts w:eastAsia="Times New Roman"/>
        </w:rPr>
        <w:t xml:space="preserve"> fees are the biggest differentiator. Specialty alt credit, esp. Healthcare / bio life sciences. Recent interest in venture given limited opportunity set in public markets. </w:t>
      </w:r>
      <w:proofErr w:type="gramStart"/>
      <w:r>
        <w:rPr>
          <w:rFonts w:eastAsia="Times New Roman"/>
        </w:rPr>
        <w:t>Early stage</w:t>
      </w:r>
      <w:proofErr w:type="gramEnd"/>
      <w:r>
        <w:rPr>
          <w:rFonts w:eastAsia="Times New Roman"/>
        </w:rPr>
        <w:t xml:space="preserve"> ventures are typically more creative in this market environment. Still need managers to be patient and prudent, and not rush into deployment. The larger more developed platform generally doesn’t feel that pressure. </w:t>
      </w:r>
    </w:p>
    <w:p w14:paraId="1084D84E" w14:textId="77777777" w:rsidR="00D53460" w:rsidRDefault="00D53460" w:rsidP="00D53460"/>
    <w:p w14:paraId="536ADF08" w14:textId="77777777" w:rsidR="00D53460" w:rsidRDefault="00D53460" w:rsidP="00D53460">
      <w:r>
        <w:t>With rising rates, how are you thinking private credit as an asset class, is there still momentum?</w:t>
      </w:r>
    </w:p>
    <w:p w14:paraId="45FB26AC" w14:textId="77777777" w:rsidR="00D53460" w:rsidRDefault="00D53460" w:rsidP="00D53460">
      <w:pPr>
        <w:pStyle w:val="ListParagraph"/>
        <w:numPr>
          <w:ilvl w:val="0"/>
          <w:numId w:val="6"/>
        </w:numPr>
        <w:rPr>
          <w:rFonts w:eastAsia="Times New Roman"/>
        </w:rPr>
      </w:pPr>
      <w:r>
        <w:rPr>
          <w:rFonts w:eastAsia="Times New Roman"/>
        </w:rPr>
        <w:t xml:space="preserve">NEPC – back to strategic asset allocation. Most have dedicated long-term allocation and not going to waver due to market environment. Then depends on client needs, may be more attractive with rising rates as public debt market tanks. </w:t>
      </w:r>
      <w:proofErr w:type="spellStart"/>
      <w:r>
        <w:rPr>
          <w:rFonts w:eastAsia="Times New Roman"/>
        </w:rPr>
        <w:t>Possbile</w:t>
      </w:r>
      <w:proofErr w:type="spellEnd"/>
      <w:r>
        <w:rPr>
          <w:rFonts w:eastAsia="Times New Roman"/>
        </w:rPr>
        <w:t xml:space="preserve"> work out situations can be attractive, too. </w:t>
      </w:r>
    </w:p>
    <w:p w14:paraId="4F077C7C" w14:textId="77777777" w:rsidR="00D53460" w:rsidRDefault="00D53460" w:rsidP="00D53460">
      <w:pPr>
        <w:pStyle w:val="ListParagraph"/>
        <w:numPr>
          <w:ilvl w:val="0"/>
          <w:numId w:val="6"/>
        </w:numPr>
        <w:rPr>
          <w:rFonts w:eastAsia="Times New Roman"/>
        </w:rPr>
      </w:pPr>
      <w:r>
        <w:rPr>
          <w:rFonts w:eastAsia="Times New Roman"/>
        </w:rPr>
        <w:t xml:space="preserve">Marquette – think private debt will continue to grab market share next 18-24 month. </w:t>
      </w:r>
    </w:p>
    <w:p w14:paraId="6D3F7F61" w14:textId="77777777" w:rsidR="00D53460" w:rsidRDefault="00D53460" w:rsidP="00D53460"/>
    <w:p w14:paraId="3806A061" w14:textId="77777777" w:rsidR="00D53460" w:rsidRDefault="00D53460" w:rsidP="00D53460">
      <w:r>
        <w:t xml:space="preserve">Has recent market volatility affected the way you work with managers? </w:t>
      </w:r>
    </w:p>
    <w:p w14:paraId="714371B1" w14:textId="77777777" w:rsidR="00D53460" w:rsidRDefault="00D53460" w:rsidP="00D53460">
      <w:pPr>
        <w:pStyle w:val="ListParagraph"/>
        <w:numPr>
          <w:ilvl w:val="0"/>
          <w:numId w:val="7"/>
        </w:numPr>
        <w:rPr>
          <w:rFonts w:eastAsia="Times New Roman"/>
        </w:rPr>
      </w:pPr>
      <w:r>
        <w:rPr>
          <w:rFonts w:eastAsia="Times New Roman"/>
        </w:rPr>
        <w:t xml:space="preserve">Marquette – do the opposite of what clients want to do during times of turmoil, everyone wants to pull from fixed income but </w:t>
      </w:r>
      <w:proofErr w:type="gramStart"/>
      <w:r>
        <w:rPr>
          <w:rFonts w:eastAsia="Times New Roman"/>
        </w:rPr>
        <w:t>should probably should</w:t>
      </w:r>
      <w:proofErr w:type="gramEnd"/>
      <w:r>
        <w:rPr>
          <w:rFonts w:eastAsia="Times New Roman"/>
        </w:rPr>
        <w:t xml:space="preserve"> increase allocation. </w:t>
      </w:r>
    </w:p>
    <w:p w14:paraId="436D85F1" w14:textId="77777777" w:rsidR="00D53460" w:rsidRDefault="00D53460" w:rsidP="00D53460">
      <w:pPr>
        <w:pStyle w:val="ListParagraph"/>
        <w:numPr>
          <w:ilvl w:val="0"/>
          <w:numId w:val="7"/>
        </w:numPr>
        <w:rPr>
          <w:rFonts w:eastAsia="Times New Roman"/>
        </w:rPr>
      </w:pPr>
      <w:r>
        <w:rPr>
          <w:rFonts w:eastAsia="Times New Roman"/>
        </w:rPr>
        <w:t xml:space="preserve">Chicago Park – for public pension funds, higher rates can be a good thing </w:t>
      </w:r>
    </w:p>
    <w:p w14:paraId="5BB84517" w14:textId="77777777" w:rsidR="00D53460" w:rsidRDefault="00D53460" w:rsidP="00D53460">
      <w:pPr>
        <w:pStyle w:val="ListParagraph"/>
        <w:numPr>
          <w:ilvl w:val="0"/>
          <w:numId w:val="7"/>
        </w:numPr>
        <w:rPr>
          <w:rFonts w:eastAsia="Times New Roman"/>
        </w:rPr>
      </w:pPr>
      <w:r>
        <w:rPr>
          <w:rFonts w:eastAsia="Times New Roman"/>
        </w:rPr>
        <w:t xml:space="preserve">NEPC – will change managers if there is material change or </w:t>
      </w:r>
      <w:proofErr w:type="gramStart"/>
      <w:r>
        <w:rPr>
          <w:rFonts w:eastAsia="Times New Roman"/>
        </w:rPr>
        <w:t>turnover, but</w:t>
      </w:r>
      <w:proofErr w:type="gramEnd"/>
      <w:r>
        <w:rPr>
          <w:rFonts w:eastAsia="Times New Roman"/>
        </w:rPr>
        <w:t xml:space="preserve"> will re-up if managers are performing. Add new manager if client looking to add new exposure. Balance between investment </w:t>
      </w:r>
      <w:proofErr w:type="gramStart"/>
      <w:r>
        <w:rPr>
          <w:rFonts w:eastAsia="Times New Roman"/>
        </w:rPr>
        <w:t>/  manager</w:t>
      </w:r>
      <w:proofErr w:type="gramEnd"/>
      <w:r>
        <w:rPr>
          <w:rFonts w:eastAsia="Times New Roman"/>
        </w:rPr>
        <w:t xml:space="preserve"> diversification and administrative burden. </w:t>
      </w:r>
    </w:p>
    <w:p w14:paraId="473F7BB1" w14:textId="77777777" w:rsidR="00D53460" w:rsidRDefault="00D53460" w:rsidP="00D53460"/>
    <w:p w14:paraId="69790433" w14:textId="77777777" w:rsidR="00D53460" w:rsidRDefault="00D53460" w:rsidP="00D53460">
      <w:r>
        <w:t>Underwriting process</w:t>
      </w:r>
    </w:p>
    <w:p w14:paraId="62A2FCA1" w14:textId="77777777" w:rsidR="00D53460" w:rsidRDefault="00D53460" w:rsidP="00D53460">
      <w:pPr>
        <w:pStyle w:val="ListParagraph"/>
        <w:numPr>
          <w:ilvl w:val="0"/>
          <w:numId w:val="8"/>
        </w:numPr>
        <w:rPr>
          <w:rFonts w:eastAsia="Times New Roman"/>
        </w:rPr>
      </w:pPr>
      <w:r>
        <w:rPr>
          <w:rFonts w:eastAsia="Times New Roman"/>
        </w:rPr>
        <w:t>Marquette – four step process: 1</w:t>
      </w:r>
      <w:proofErr w:type="gramStart"/>
      <w:r>
        <w:rPr>
          <w:rFonts w:eastAsia="Times New Roman"/>
        </w:rPr>
        <w:t>)  Process</w:t>
      </w:r>
      <w:proofErr w:type="gramEnd"/>
      <w:r>
        <w:rPr>
          <w:rFonts w:eastAsia="Times New Roman"/>
        </w:rPr>
        <w:t xml:space="preserve"> and philosophy; 2)? performance analysis, is this an institutional quality strategy; 3) detailed RFI; 4) three-four hour onsite with legal and operations Whole process can take four to six weeks or one to two years</w:t>
      </w:r>
    </w:p>
    <w:p w14:paraId="21C2A01B" w14:textId="77777777" w:rsidR="00D53460" w:rsidRDefault="00D53460" w:rsidP="00D53460">
      <w:pPr>
        <w:pStyle w:val="ListParagraph"/>
        <w:numPr>
          <w:ilvl w:val="0"/>
          <w:numId w:val="8"/>
        </w:numPr>
        <w:rPr>
          <w:rFonts w:eastAsia="Times New Roman"/>
        </w:rPr>
      </w:pPr>
      <w:r>
        <w:rPr>
          <w:rFonts w:eastAsia="Times New Roman"/>
        </w:rPr>
        <w:t>NEPC – 1) series of short meetings, review managers against backdrop of opportunity set; 2) review historical deals, 57-question DDQ; 3) full memo that goes to IC</w:t>
      </w:r>
    </w:p>
    <w:p w14:paraId="4284E9B3" w14:textId="77777777" w:rsidR="00D53460" w:rsidRDefault="00D53460" w:rsidP="00D53460"/>
    <w:p w14:paraId="00065338" w14:textId="77777777" w:rsidR="00D53460" w:rsidRDefault="00D53460" w:rsidP="00D53460">
      <w:r>
        <w:t>How panicked are you and how may it slow down new manager selection?</w:t>
      </w:r>
    </w:p>
    <w:p w14:paraId="0DB340FF" w14:textId="77777777" w:rsidR="00D53460" w:rsidRDefault="00D53460" w:rsidP="00D53460">
      <w:pPr>
        <w:pStyle w:val="ListParagraph"/>
        <w:numPr>
          <w:ilvl w:val="0"/>
          <w:numId w:val="9"/>
        </w:numPr>
        <w:rPr>
          <w:rFonts w:eastAsia="Times New Roman"/>
        </w:rPr>
      </w:pPr>
      <w:r>
        <w:rPr>
          <w:rFonts w:eastAsia="Times New Roman"/>
        </w:rPr>
        <w:t xml:space="preserve">Chicago Park – received funding and could pay benefits in 2022, may start worrying again in 2023 </w:t>
      </w:r>
    </w:p>
    <w:p w14:paraId="30D12C37" w14:textId="77777777" w:rsidR="00D53460" w:rsidRDefault="00D53460" w:rsidP="00D53460">
      <w:pPr>
        <w:pStyle w:val="ListParagraph"/>
        <w:numPr>
          <w:ilvl w:val="0"/>
          <w:numId w:val="9"/>
        </w:numPr>
        <w:rPr>
          <w:rFonts w:eastAsia="Times New Roman"/>
        </w:rPr>
      </w:pPr>
      <w:r>
        <w:rPr>
          <w:rFonts w:eastAsia="Times New Roman"/>
        </w:rPr>
        <w:t>Marquette – general feedback has been: “wish we had done more private credit”</w:t>
      </w:r>
    </w:p>
    <w:p w14:paraId="6399F63D" w14:textId="77777777" w:rsidR="00D53460" w:rsidRDefault="00D53460" w:rsidP="00D53460">
      <w:pPr>
        <w:pStyle w:val="ListParagraph"/>
        <w:numPr>
          <w:ilvl w:val="0"/>
          <w:numId w:val="9"/>
        </w:numPr>
        <w:rPr>
          <w:rFonts w:eastAsia="Times New Roman"/>
        </w:rPr>
      </w:pPr>
      <w:r>
        <w:rPr>
          <w:rFonts w:eastAsia="Times New Roman"/>
        </w:rPr>
        <w:t xml:space="preserve">NEPC – advising clients to stay to stay the course and continue to allocate if possible </w:t>
      </w:r>
    </w:p>
    <w:p w14:paraId="24887BFF" w14:textId="77777777" w:rsidR="00D53460" w:rsidRDefault="00D53460" w:rsidP="00D53460"/>
    <w:p w14:paraId="2309A674" w14:textId="77777777" w:rsidR="00D53460" w:rsidRDefault="00D53460" w:rsidP="00D53460"/>
    <w:p w14:paraId="51DEEDFF" w14:textId="77777777" w:rsidR="00BE649A" w:rsidRDefault="00BE649A"/>
    <w:sectPr w:rsidR="00BE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22F"/>
    <w:multiLevelType w:val="hybridMultilevel"/>
    <w:tmpl w:val="5388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61063"/>
    <w:multiLevelType w:val="hybridMultilevel"/>
    <w:tmpl w:val="D6A2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F5524"/>
    <w:multiLevelType w:val="hybridMultilevel"/>
    <w:tmpl w:val="405E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C74FEC"/>
    <w:multiLevelType w:val="hybridMultilevel"/>
    <w:tmpl w:val="8B7A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845D6E"/>
    <w:multiLevelType w:val="hybridMultilevel"/>
    <w:tmpl w:val="40C6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9A1796"/>
    <w:multiLevelType w:val="hybridMultilevel"/>
    <w:tmpl w:val="8200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DF28E0"/>
    <w:multiLevelType w:val="hybridMultilevel"/>
    <w:tmpl w:val="E896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482CCA"/>
    <w:multiLevelType w:val="hybridMultilevel"/>
    <w:tmpl w:val="E1EC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1A0D85"/>
    <w:multiLevelType w:val="hybridMultilevel"/>
    <w:tmpl w:val="CFA4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0743635">
    <w:abstractNumId w:val="2"/>
    <w:lvlOverride w:ilvl="0"/>
    <w:lvlOverride w:ilvl="1"/>
    <w:lvlOverride w:ilvl="2"/>
    <w:lvlOverride w:ilvl="3"/>
    <w:lvlOverride w:ilvl="4"/>
    <w:lvlOverride w:ilvl="5"/>
    <w:lvlOverride w:ilvl="6"/>
    <w:lvlOverride w:ilvl="7"/>
    <w:lvlOverride w:ilvl="8"/>
  </w:num>
  <w:num w:numId="2" w16cid:durableId="1998457354">
    <w:abstractNumId w:val="6"/>
    <w:lvlOverride w:ilvl="0"/>
    <w:lvlOverride w:ilvl="1"/>
    <w:lvlOverride w:ilvl="2"/>
    <w:lvlOverride w:ilvl="3"/>
    <w:lvlOverride w:ilvl="4"/>
    <w:lvlOverride w:ilvl="5"/>
    <w:lvlOverride w:ilvl="6"/>
    <w:lvlOverride w:ilvl="7"/>
    <w:lvlOverride w:ilvl="8"/>
  </w:num>
  <w:num w:numId="3" w16cid:durableId="47149220">
    <w:abstractNumId w:val="3"/>
    <w:lvlOverride w:ilvl="0"/>
    <w:lvlOverride w:ilvl="1"/>
    <w:lvlOverride w:ilvl="2"/>
    <w:lvlOverride w:ilvl="3"/>
    <w:lvlOverride w:ilvl="4"/>
    <w:lvlOverride w:ilvl="5"/>
    <w:lvlOverride w:ilvl="6"/>
    <w:lvlOverride w:ilvl="7"/>
    <w:lvlOverride w:ilvl="8"/>
  </w:num>
  <w:num w:numId="4" w16cid:durableId="901910598">
    <w:abstractNumId w:val="4"/>
    <w:lvlOverride w:ilvl="0"/>
    <w:lvlOverride w:ilvl="1"/>
    <w:lvlOverride w:ilvl="2"/>
    <w:lvlOverride w:ilvl="3"/>
    <w:lvlOverride w:ilvl="4"/>
    <w:lvlOverride w:ilvl="5"/>
    <w:lvlOverride w:ilvl="6"/>
    <w:lvlOverride w:ilvl="7"/>
    <w:lvlOverride w:ilvl="8"/>
  </w:num>
  <w:num w:numId="5" w16cid:durableId="1107509348">
    <w:abstractNumId w:val="5"/>
    <w:lvlOverride w:ilvl="0"/>
    <w:lvlOverride w:ilvl="1"/>
    <w:lvlOverride w:ilvl="2"/>
    <w:lvlOverride w:ilvl="3"/>
    <w:lvlOverride w:ilvl="4"/>
    <w:lvlOverride w:ilvl="5"/>
    <w:lvlOverride w:ilvl="6"/>
    <w:lvlOverride w:ilvl="7"/>
    <w:lvlOverride w:ilvl="8"/>
  </w:num>
  <w:num w:numId="6" w16cid:durableId="176311556">
    <w:abstractNumId w:val="0"/>
    <w:lvlOverride w:ilvl="0"/>
    <w:lvlOverride w:ilvl="1"/>
    <w:lvlOverride w:ilvl="2"/>
    <w:lvlOverride w:ilvl="3"/>
    <w:lvlOverride w:ilvl="4"/>
    <w:lvlOverride w:ilvl="5"/>
    <w:lvlOverride w:ilvl="6"/>
    <w:lvlOverride w:ilvl="7"/>
    <w:lvlOverride w:ilvl="8"/>
  </w:num>
  <w:num w:numId="7" w16cid:durableId="1111390199">
    <w:abstractNumId w:val="8"/>
    <w:lvlOverride w:ilvl="0"/>
    <w:lvlOverride w:ilvl="1"/>
    <w:lvlOverride w:ilvl="2"/>
    <w:lvlOverride w:ilvl="3"/>
    <w:lvlOverride w:ilvl="4"/>
    <w:lvlOverride w:ilvl="5"/>
    <w:lvlOverride w:ilvl="6"/>
    <w:lvlOverride w:ilvl="7"/>
    <w:lvlOverride w:ilvl="8"/>
  </w:num>
  <w:num w:numId="8" w16cid:durableId="353917993">
    <w:abstractNumId w:val="1"/>
    <w:lvlOverride w:ilvl="0"/>
    <w:lvlOverride w:ilvl="1"/>
    <w:lvlOverride w:ilvl="2"/>
    <w:lvlOverride w:ilvl="3"/>
    <w:lvlOverride w:ilvl="4"/>
    <w:lvlOverride w:ilvl="5"/>
    <w:lvlOverride w:ilvl="6"/>
    <w:lvlOverride w:ilvl="7"/>
    <w:lvlOverride w:ilvl="8"/>
  </w:num>
  <w:num w:numId="9" w16cid:durableId="211828252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60"/>
    <w:rsid w:val="00301E19"/>
    <w:rsid w:val="00BE649A"/>
    <w:rsid w:val="00D53460"/>
    <w:rsid w:val="00D71BC8"/>
    <w:rsid w:val="00E9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FF0C"/>
  <w15:chartTrackingRefBased/>
  <w15:docId w15:val="{FA09B4CB-5701-45E4-A582-2ACF835B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6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6" ma:contentTypeDescription="Create a new document." ma:contentTypeScope="" ma:versionID="0814e60d6d76ad5d9028681c6badead7">
  <xsd:schema xmlns:xsd="http://www.w3.org/2001/XMLSchema" xmlns:xs="http://www.w3.org/2001/XMLSchema" xmlns:p="http://schemas.microsoft.com/office/2006/metadata/properties" xmlns:ns2="1e671bff-a4b1-4124-abfd-29a4ae65a73b" xmlns:ns3="cdf6dfcd-4e6c-4f91-a6b6-8fb85f4ee5b0" xmlns:ns4="4b2fc3e3-4049-4520-9bc5-99ad76a257ee" targetNamespace="http://schemas.microsoft.com/office/2006/metadata/properties" ma:root="true" ma:fieldsID="1e56eb213a7c628dd623063dfc0b8622" ns2:_="" ns3:_="" ns4:_="">
    <xsd:import namespace="1e671bff-a4b1-4124-abfd-29a4ae65a73b"/>
    <xsd:import namespace="cdf6dfcd-4e6c-4f91-a6b6-8fb85f4ee5b0"/>
    <xsd:import namespace="4b2fc3e3-4049-4520-9bc5-99ad76a257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eb733-7c8b-4a73-aed2-3a4473d23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fc3e3-4049-4520-9bc5-99ad76a257e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ee5436-c274-4d7c-ae10-c092095587d4}" ma:internalName="TaxCatchAll" ma:showField="CatchAllData" ma:web="cdf6dfcd-4e6c-4f91-a6b6-8fb85f4ee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D22EF-3327-40DD-9AFD-B46DB8A8904D}"/>
</file>

<file path=customXml/itemProps2.xml><?xml version="1.0" encoding="utf-8"?>
<ds:datastoreItem xmlns:ds="http://schemas.openxmlformats.org/officeDocument/2006/customXml" ds:itemID="{4C295F9F-1B0D-42CE-82F4-4AD8CC38D971}"/>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Company>Putnam Applications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Tai</dc:creator>
  <cp:keywords/>
  <dc:description/>
  <cp:lastModifiedBy>Miriam Tai</cp:lastModifiedBy>
  <cp:revision>1</cp:revision>
  <dcterms:created xsi:type="dcterms:W3CDTF">2022-10-03T11:09:00Z</dcterms:created>
  <dcterms:modified xsi:type="dcterms:W3CDTF">2022-10-03T11:09:00Z</dcterms:modified>
</cp:coreProperties>
</file>